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25" w:line="240" w:lineRule="auto"/>
        <w:outlineLvl w:val="0"/>
        <w:rPr>
          <w:rFonts w:ascii="Helvetica" w:cs="Helvetica" w:hAnsi="Helvetica" w:eastAsia="Helvetica"/>
          <w:b w:val="1"/>
          <w:bCs w:val="1"/>
          <w:outline w:val="0"/>
          <w:color w:val="333333"/>
          <w:kern w:val="36"/>
          <w:sz w:val="45"/>
          <w:szCs w:val="45"/>
          <w:u w:color="333333"/>
          <w14:textFill>
            <w14:solidFill>
              <w14:srgbClr w14:val="333333"/>
            </w14:solidFill>
          </w14:textFill>
        </w:rPr>
      </w:pPr>
      <w:r>
        <w:rPr>
          <w:rFonts w:ascii="Helvetica" w:hAnsi="Helvetica"/>
          <w:b w:val="1"/>
          <w:bCs w:val="1"/>
          <w:outline w:val="0"/>
          <w:color w:val="333333"/>
          <w:kern w:val="36"/>
          <w:sz w:val="45"/>
          <w:szCs w:val="45"/>
          <w:u w:color="333333"/>
          <w:rtl w:val="0"/>
          <w:lang w:val="en-US"/>
          <w14:textFill>
            <w14:solidFill>
              <w14:srgbClr w14:val="333333"/>
            </w14:solidFill>
          </w14:textFill>
        </w:rPr>
        <w:t>OUMPA Constitution</w:t>
      </w:r>
    </w:p>
    <w:p>
      <w:pPr>
        <w:pStyle w:val="Body"/>
        <w:spacing w:before="100" w:after="100" w:line="240" w:lineRule="auto"/>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202</w:t>
      </w:r>
      <w:r>
        <w:rPr>
          <w:rFonts w:ascii="Helvetica" w:hAnsi="Helvetica"/>
          <w:outline w:val="0"/>
          <w:color w:val="333333"/>
          <w:sz w:val="20"/>
          <w:szCs w:val="20"/>
          <w:u w:color="333333"/>
          <w:rtl w:val="0"/>
          <w:lang w:val="en-US"/>
          <w14:textFill>
            <w14:solidFill>
              <w14:srgbClr w14:val="333333"/>
            </w14:solidFill>
          </w14:textFill>
        </w:rPr>
        <w:t>1</w:t>
      </w:r>
      <w:r>
        <w:rPr>
          <w:rFonts w:ascii="Helvetica" w:hAnsi="Helvetica"/>
          <w:outline w:val="0"/>
          <w:color w:val="333333"/>
          <w:sz w:val="20"/>
          <w:szCs w:val="20"/>
          <w:u w:color="333333"/>
          <w:rtl w:val="0"/>
          <w:lang w:val="en-US"/>
          <w14:textFill>
            <w14:solidFill>
              <w14:srgbClr w14:val="333333"/>
            </w14:solidFill>
          </w14:textFill>
        </w:rPr>
        <w:t>/2</w:t>
      </w:r>
      <w:r>
        <w:rPr>
          <w:rFonts w:ascii="Helvetica" w:hAnsi="Helvetica"/>
          <w:outline w:val="0"/>
          <w:color w:val="333333"/>
          <w:sz w:val="20"/>
          <w:szCs w:val="20"/>
          <w:u w:color="333333"/>
          <w:rtl w:val="0"/>
          <w:lang w:val="en-US"/>
          <w14:textFill>
            <w14:solidFill>
              <w14:srgbClr w14:val="333333"/>
            </w14:solidFill>
          </w14:textFill>
        </w:rPr>
        <w:t>2</w:t>
      </w:r>
    </w:p>
    <w:p>
      <w:pPr>
        <w:pStyle w:val="Body"/>
        <w:spacing w:before="225" w:after="225" w:line="240" w:lineRule="auto"/>
        <w:outlineLvl w:val="1"/>
        <w:rPr>
          <w:rFonts w:ascii="Helvetica" w:cs="Helvetica" w:hAnsi="Helvetica" w:eastAsia="Helvetica"/>
          <w:b w:val="1"/>
          <w:bCs w:val="1"/>
          <w:outline w:val="0"/>
          <w:color w:val="333333"/>
          <w:sz w:val="32"/>
          <w:szCs w:val="32"/>
          <w:u w:color="333333"/>
          <w14:textFill>
            <w14:solidFill>
              <w14:srgbClr w14:val="333333"/>
            </w14:solidFill>
          </w14:textFill>
        </w:rPr>
      </w:pPr>
      <w:r>
        <w:rPr>
          <w:rFonts w:ascii="Helvetica" w:hAnsi="Helvetica"/>
          <w:b w:val="1"/>
          <w:bCs w:val="1"/>
          <w:outline w:val="0"/>
          <w:color w:val="333333"/>
          <w:sz w:val="32"/>
          <w:szCs w:val="32"/>
          <w:u w:color="333333"/>
          <w:rtl w:val="0"/>
          <w:lang w:val="en-US"/>
          <w14:textFill>
            <w14:solidFill>
              <w14:srgbClr w14:val="333333"/>
            </w14:solidFill>
          </w14:textFill>
        </w:rPr>
        <w:t>Name &amp; Objects</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 club is called the Oxford University Modern Pentathlon Association. This is a federal name which incorporates the following teams: the men's first team is known as the gentleman's first team; the women's first team is known as the ladies' first team. The Club's objects are the support, development, improvement and promotion of modern pentathlon in the University of Oxford; and the income shall be applied solely to those objects.</w:t>
      </w:r>
    </w:p>
    <w:p>
      <w:pPr>
        <w:pStyle w:val="Body"/>
        <w:spacing w:before="225" w:after="225" w:line="240" w:lineRule="auto"/>
        <w:ind w:left="720" w:firstLine="0"/>
        <w:outlineLvl w:val="1"/>
        <w:rPr>
          <w:rFonts w:ascii="Helvetica" w:cs="Helvetica" w:hAnsi="Helvetica" w:eastAsia="Helvetica"/>
          <w:b w:val="1"/>
          <w:bCs w:val="1"/>
          <w:outline w:val="0"/>
          <w:color w:val="333333"/>
          <w:sz w:val="32"/>
          <w:szCs w:val="32"/>
          <w:u w:color="333333"/>
          <w14:textFill>
            <w14:solidFill>
              <w14:srgbClr w14:val="333333"/>
            </w14:solidFill>
          </w14:textFill>
        </w:rPr>
      </w:pPr>
      <w:r>
        <w:rPr>
          <w:rFonts w:ascii="Helvetica" w:hAnsi="Helvetica"/>
          <w:b w:val="1"/>
          <w:bCs w:val="1"/>
          <w:outline w:val="0"/>
          <w:color w:val="333333"/>
          <w:sz w:val="32"/>
          <w:szCs w:val="32"/>
          <w:u w:color="333333"/>
          <w:rtl w:val="0"/>
          <w:lang w:val="en-US"/>
          <w14:textFill>
            <w14:solidFill>
              <w14:srgbClr w14:val="333333"/>
            </w14:solidFill>
          </w14:textFill>
        </w:rPr>
        <w:t>Compliance</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(a) The Club shall be administered in accordance with the regulations for University Clubs and the property which are published from time to time in the Proctors' and Assessor's Memorandum ("the Proctors' Memorandum"). At the time of the adoption of this Constitution the Club is designated by the Proctors as a recognised sport.</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(b) If there is a National Governing Body for the sport which the Club is eligible to register, the Club shall effect and maintain such registration: purchase any insurance cover which the national body makes available (unless the Insurance Section of the University's Central Administration ("the Insurance Section") agrees to or prescribes other arrangements); and make every effort to comply with all the safety procedures which the National body prescribes or recommends as good practice.</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(c) The Club shall ensure that all paid Club administrative and coaching appointments are ratified by the University's Sports Strategy Committee; that all coaches are registered with any relevant national governing body; and that all paid coaches are accredited by such body.</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(d) The Club shall observe the Code of Conduct on Safety Matters which is set out in the Schedule to this Constitution, ensure compliance with the Code by the members of the Club, and follow an appropriate procedure for risk assessment. Both the Code of Conduct and the procedure for risk assessment must be acceptable to the Area Safety Officer (Sport) (</w:t>
      </w:r>
      <w:r>
        <w:rPr>
          <w:rFonts w:ascii="Helvetica" w:hAnsi="Helvetica" w:hint="default"/>
          <w:outline w:val="0"/>
          <w:color w:val="333333"/>
          <w:sz w:val="20"/>
          <w:szCs w:val="20"/>
          <w:u w:color="333333"/>
          <w:rtl w:val="0"/>
          <w:lang w:val="en-US"/>
          <w14:textFill>
            <w14:solidFill>
              <w14:srgbClr w14:val="333333"/>
            </w14:solidFill>
          </w14:textFill>
        </w:rPr>
        <w:t>“</w:t>
      </w:r>
      <w:r>
        <w:rPr>
          <w:rFonts w:ascii="Helvetica" w:hAnsi="Helvetica"/>
          <w:outline w:val="0"/>
          <w:color w:val="333333"/>
          <w:sz w:val="20"/>
          <w:szCs w:val="20"/>
          <w:u w:color="333333"/>
          <w:rtl w:val="0"/>
          <w:lang w:val="en-US"/>
          <w14:textFill>
            <w14:solidFill>
              <w14:srgbClr w14:val="333333"/>
            </w14:solidFill>
          </w14:textFill>
        </w:rPr>
        <w:t>the Safety Officer</w:t>
      </w:r>
      <w:r>
        <w:rPr>
          <w:rFonts w:ascii="Helvetica" w:hAnsi="Helvetica" w:hint="default"/>
          <w:outline w:val="0"/>
          <w:color w:val="333333"/>
          <w:sz w:val="20"/>
          <w:szCs w:val="20"/>
          <w:u w:color="333333"/>
          <w:rtl w:val="0"/>
          <w:lang w:val="en-US"/>
          <w14:textFill>
            <w14:solidFill>
              <w14:srgbClr w14:val="333333"/>
            </w14:solidFill>
          </w14:textFill>
        </w:rPr>
        <w:t>”</w:t>
      </w:r>
      <w:r>
        <w:rPr>
          <w:rFonts w:ascii="Helvetica" w:hAnsi="Helvetica"/>
          <w:outline w:val="0"/>
          <w:color w:val="333333"/>
          <w:sz w:val="20"/>
          <w:szCs w:val="20"/>
          <w:u w:color="333333"/>
          <w:rtl w:val="0"/>
          <w:lang w:val="en-US"/>
          <w14:textFill>
            <w14:solidFill>
              <w14:srgbClr w14:val="333333"/>
            </w14:solidFill>
          </w14:textFill>
        </w:rPr>
        <w:t>). If and for so long as the Club is responsible for organising an inter college competition, the Code of Conduct shall include guidelines and appropriate risk assessments for that competition.</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(e) Not less than 21 days before any event or competition which is approved or advertised by the Club as an official event of the Club (other than events already included in the approved Code of Conduct on Safety Matters, and procedure for risk assessment) the Club shall submit to the Proctors an event plan and risk assessment, together with documentary evidence of appropriate insurance cover. The Club shall then observe such conditions as the Proctors may then wish to attach to the running of the event.</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(f) No member of the Club shall participate in any activity overseas organised by the Club, whether during term-time or vacation, unless the plans for such activity have been notified at least one calendar month in advance of the date of departure from the United Kingdom to the Director of Sport. Each member participating in such activities overseas shall observe any conditions imposed by the Proctors on the recommendation of the Director of Sport, e.g. relating to the deposit of contact addresses, fulfilment of health, safety and insurance requirements, and stipulation of coaches, trainers or Senior Members to accompany the trip.</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(g) The Club may apply to Oxford University Computing Services ('OUCS') to use information technology ('IT') facilities in the name of the Club. Where relevant facilities are allocated by OUCS it is the responsibility of the Club:</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(i) to designate a member of the Club entitled to a University e mail account (as defined by OUCS rules) to act as its IT Officer, whose duties shall include liaising with OUCS about the use of facilities allocated and passing on to his or her successor in office all records relating to the use of the facilities allocated;</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(ii) to designate one of its members (who may be, but need not necessarily be, the same as its IT Officer) or, exceptionally, a member of Congregation to act as its principal Webmaster, whose duties shall include maintaining an awareness of the University Guidelines for Web Information Providers and coordinating and regulating access to the web facilities use by the Club;</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(iii) to comply with regulations and guidelines relating to the use of IT facilities published from time to time by OUCS;</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(iv) to ensure that everyone responsible under (i)-(iii) is competent to deal with the requirements, where necessary undertaking training under the guidance of OUCS.</w:t>
      </w:r>
    </w:p>
    <w:p>
      <w:pPr>
        <w:pStyle w:val="Body"/>
        <w:spacing w:before="225" w:after="225" w:line="240" w:lineRule="auto"/>
        <w:ind w:left="720" w:firstLine="0"/>
        <w:outlineLvl w:val="1"/>
        <w:rPr>
          <w:rFonts w:ascii="Helvetica" w:cs="Helvetica" w:hAnsi="Helvetica" w:eastAsia="Helvetica"/>
          <w:b w:val="1"/>
          <w:bCs w:val="1"/>
          <w:outline w:val="0"/>
          <w:color w:val="333333"/>
          <w:sz w:val="32"/>
          <w:szCs w:val="32"/>
          <w:u w:color="333333"/>
          <w14:textFill>
            <w14:solidFill>
              <w14:srgbClr w14:val="333333"/>
            </w14:solidFill>
          </w14:textFill>
        </w:rPr>
      </w:pPr>
      <w:r>
        <w:rPr>
          <w:rFonts w:ascii="Helvetica" w:hAnsi="Helvetica"/>
          <w:b w:val="1"/>
          <w:bCs w:val="1"/>
          <w:outline w:val="0"/>
          <w:color w:val="333333"/>
          <w:sz w:val="32"/>
          <w:szCs w:val="32"/>
          <w:u w:color="333333"/>
          <w:rtl w:val="0"/>
          <w:lang w:val="en-US"/>
          <w14:textFill>
            <w14:solidFill>
              <w14:srgbClr w14:val="333333"/>
            </w14:solidFill>
          </w14:textFill>
        </w:rPr>
        <w:t>Membership</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 ordinary members of the Club shall be those who are eligible and apply for ordinary membership of the Club, who are admitted to and maintained in membership by the Committee, and who have paid the relevant Club Subscription.</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All resident junior members of the University shall be eligible to become ordinary members of the Club. A junior member is a matriculated member of a College or Hall who is reading and registered for a recognized degree, diploma or certificate. A member is resident if during term the member satisfies the requirement for residence laid down by the University. A member shall continue to be eligible until he or she is given permission to supplicate for his or her degree, diploma or certificate, regardless of whether or not he or she continues to be liable to pay fees to the University.</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 Committee may also, at its discretion, admit to ordinary membership: -</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(a) Junior members of the University's Permanent Private Halls who are not matriculated into the University;</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(b) Junior members of Ruskin College; Plater College; Ripon College, Cuddesdon; St Stephen's House; {The Oxford Institute of Legal Practice} and {The Westminster Institute of Oxford Brookes University}; and</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(c) Associate membership may be conferred by the Committee of the Club on any person for any period of time.</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 Committee may remove a person from membership for good cause. The person concerned may appeal against such removal to the Senior Member.</w:t>
      </w:r>
    </w:p>
    <w:p>
      <w:pPr>
        <w:pStyle w:val="Body"/>
        <w:spacing w:before="225" w:after="225" w:line="240" w:lineRule="auto"/>
        <w:ind w:left="720" w:firstLine="0"/>
        <w:outlineLvl w:val="1"/>
        <w:rPr>
          <w:rFonts w:ascii="Helvetica" w:cs="Helvetica" w:hAnsi="Helvetica" w:eastAsia="Helvetica"/>
          <w:b w:val="1"/>
          <w:bCs w:val="1"/>
          <w:outline w:val="0"/>
          <w:color w:val="333333"/>
          <w:sz w:val="32"/>
          <w:szCs w:val="32"/>
          <w:u w:color="333333"/>
          <w14:textFill>
            <w14:solidFill>
              <w14:srgbClr w14:val="333333"/>
            </w14:solidFill>
          </w14:textFill>
        </w:rPr>
      </w:pPr>
      <w:r>
        <w:rPr>
          <w:rFonts w:ascii="Helvetica" w:hAnsi="Helvetica"/>
          <w:b w:val="1"/>
          <w:bCs w:val="1"/>
          <w:outline w:val="0"/>
          <w:color w:val="333333"/>
          <w:sz w:val="32"/>
          <w:szCs w:val="32"/>
          <w:u w:color="333333"/>
          <w:rtl w:val="0"/>
          <w:lang w:val="en-US"/>
          <w14:textFill>
            <w14:solidFill>
              <w14:srgbClr w14:val="333333"/>
            </w14:solidFill>
          </w14:textFill>
        </w:rPr>
        <w:t>Meetings of the Members</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There shall be an Annual General Meeting for all members of the Club in Trinity Full Term, convened by the secretary on not less than seven days' notice</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 Annual General Meeting will:</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(a) receive the annual reports of the Committee for the previous year and the annual accounts of the Club for the previous year, the report of the accounts having been approved by the Committee;</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(b) receive a report from the Committee on the Club's compliance with paragraph 2 above;</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(c) consider any motions of which due notice has been given, and any other relevant business.</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An Extraordinary General Meeting may be called in any Full Term; by the President, the Secretary or the Treasurer on not less than seven days' notice; or on a written requisition by {seven} or more members, stating the reason for which the meeting is to be called, and delivered to the Secretary not less than fourteen days before the date of the Meeting.</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Prior to all General Meetings notice of the agenda shall be sent out with notice of the Meeting.</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 quorum for a General Meeting shall be 6 members present in person or by proxy, of whom {three} must be members of the Committee. When any financial business is to be transacted, there must be present the Treasurer, or a member of the Committees deputed by the Treasurer to represent his/her views to the Meeting (provided that where it is a case of a deputy, the only financial business transacted shall be that which was set out in the agenda accompanying the notice of the Meeting).</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(a) see appendix 1 for voting procedure for election of officers at the AGM</w:t>
      </w:r>
    </w:p>
    <w:p>
      <w:pPr>
        <w:pStyle w:val="Body"/>
        <w:spacing w:before="225" w:after="225" w:line="240" w:lineRule="auto"/>
        <w:ind w:left="720" w:firstLine="0"/>
        <w:outlineLvl w:val="1"/>
        <w:rPr>
          <w:rFonts w:ascii="Helvetica" w:cs="Helvetica" w:hAnsi="Helvetica" w:eastAsia="Helvetica"/>
          <w:b w:val="1"/>
          <w:bCs w:val="1"/>
          <w:outline w:val="0"/>
          <w:color w:val="333333"/>
          <w:sz w:val="32"/>
          <w:szCs w:val="32"/>
          <w:u w:color="333333"/>
          <w14:textFill>
            <w14:solidFill>
              <w14:srgbClr w14:val="333333"/>
            </w14:solidFill>
          </w14:textFill>
        </w:rPr>
      </w:pPr>
      <w:r>
        <w:rPr>
          <w:rFonts w:ascii="Helvetica" w:hAnsi="Helvetica"/>
          <w:b w:val="1"/>
          <w:bCs w:val="1"/>
          <w:outline w:val="0"/>
          <w:color w:val="333333"/>
          <w:sz w:val="32"/>
          <w:szCs w:val="32"/>
          <w:u w:color="333333"/>
          <w:rtl w:val="0"/>
          <w:lang w:val="en-US"/>
          <w14:textFill>
            <w14:solidFill>
              <w14:srgbClr w14:val="333333"/>
            </w14:solidFill>
          </w14:textFill>
        </w:rPr>
        <w:t>The Committee</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 affairs of the Club shall be administrated by a Committee consisting of not more than 10 persons, which shall determine the subscriptions payable by the members of the club, and have ultimate responsibility for the activities of the club. Members of the University shall at all times make up the majority of the members of the Committee. The Committee shall have control of the funds and property of the Club, and of its administration.</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 quorum for a Committee meeting shall be 2 members present in person. When any financial business of the Club is to be transacted there must be present the Treasurer, or a member of the Committees deputed by the Treasurer to represent his/her views to the Meeting.</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 Committee shall be made up of the President, the Secretary, the Treasurer, the Women's Captain and the Men's Captain (together, the "Office Holders"; and their offices are referred to as "the Offices"), the Senior Member and up to 5 other persons. The President, the Secretary and the Treasurer shall each be either a member of the Club whose eligibility stems from paragraphs 4, 5(a) or 5(b) above, or (with approval from the Proctors) a member of Congregation. If his or her eligibility stems from 5(a) or 5(b) above, on election to office he or she must sign an undertaking to abide by the Proctors Memorandum and to accept the authority of the Proctors on Club matters.</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 President shall have the right to preside at all meetings of the members of the Club and at all meetings of the Committee. Should the President be absent, or decline to take the chair, the Committee shall elect another member of the Committee to chair the meeting.</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 Secretary shall:</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(a) maintain a register of the members of the Club, which shall be available for inspection by the Proctors on request;</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(b) maintain club membership with the national governing body, Pentathlon GB;</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(c) give notice of meetings of the members and the Committee;</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(d) draw up minutes of those meetings;</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(e) notify the Proctors (through the Director of Sport) promptly following the appointment and resignation or removal of Office Holders and other members of the Committee;</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(f) advise the Proctors (through the Director of Sport) promptly of any changes in the Constitution;</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(g) notify the Proctors (through the Director of Sport) not later than second week of every Full Term of the programme of fixtures which has been arranged for that term (e.g. by providing them a copy of the fixture);</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(h) take responsibility for the operation and updating of a suitable club web-page displaying (at a minimum) current club contact, the constitution, and the Code of Conduct on Safety Matters and procedure for risk assessment approved from time to time by the Safety Officer under paragraph 2(d) above;</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(i) provide the Insurance Section with full details of any insurance cover purchased from or through a national governing body pursuant to paragraph 2(b) above;</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(j) inform the Proctors if the Club ceases to operate, or is to be dissolved, and in doing so present a final statement of accounts.</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 Treasurer shall:</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(a) keep proper records of the Club's financial transactions in accordance with current accepted accounting rules and practices;</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(b) Accompany the outgoing treasurer and any other required signatory to the bank to become a signatory of the OUMPA account (within two weeks of election)</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(c) develop and implement control procedures to minimize the risk of financial exposure, such as procedures developed under (c);</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(d) ensure that bills are paid and cash is banked in accordance with the procedures developed under (c);</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(e) prepare an annual budget for the Club and regularly inform the Committee of progress against that budget;</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(f) ensure that all statutory returns are made including VAT, income tax and corporation tax if appropriate;</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(g) seek advice as necessary on tax matters from the University's Financial Division;</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(h) develop and maintain a manual for all written procedures for aspects of the Treasurer's responsibility;</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(i) make all records, procedures and accounts available on request to the Senior Member, the Proctor and Internal Audit;</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(j) unless the Club is designated by the Proctors as a "recognised sport", forward to the Proctors (through the Director of Sport) by the end of Second week of each Full Term in the Club's first year of operation(1 August 10 31 July) a copy of the accounts for the proceeding term signed by the Senior Member, for retention on the Proctors' files; and after the first year of operation forward a copy of the signed annual accounts to 31st July as soon as possible after the year end (and in any event no later than the 1 October following the year-end); and</w:t>
      </w:r>
    </w:p>
    <w:p>
      <w:pPr>
        <w:pStyle w:val="Body"/>
        <w:spacing w:before="100" w:after="100" w:line="240" w:lineRule="auto"/>
        <w:ind w:left="720" w:firstLine="0"/>
        <w:rPr>
          <w:rFonts w:ascii="Helvetica" w:cs="Helvetica" w:hAnsi="Helvetica" w:eastAsia="Helvetica"/>
          <w:outline w:val="0"/>
          <w:color w:val="333333"/>
          <w:sz w:val="20"/>
          <w:szCs w:val="20"/>
          <w:u w:color="333333"/>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 xml:space="preserve">(k) if the Club has a turnover in excess of </w:t>
      </w:r>
      <w:r>
        <w:rPr>
          <w:rFonts w:ascii="Helvetica" w:hAnsi="Helvetica" w:hint="default"/>
          <w:outline w:val="0"/>
          <w:color w:val="333333"/>
          <w:sz w:val="20"/>
          <w:szCs w:val="20"/>
          <w:u w:color="333333"/>
          <w:rtl w:val="0"/>
          <w:lang w:val="en-US"/>
          <w14:textFill>
            <w14:solidFill>
              <w14:srgbClr w14:val="333333"/>
            </w14:solidFill>
          </w14:textFill>
        </w:rPr>
        <w:t>£</w:t>
      </w:r>
      <w:r>
        <w:rPr>
          <w:rFonts w:ascii="Helvetica" w:hAnsi="Helvetica"/>
          <w:outline w:val="0"/>
          <w:color w:val="333333"/>
          <w:sz w:val="20"/>
          <w:szCs w:val="20"/>
          <w:u w:color="333333"/>
          <w:rtl w:val="0"/>
          <w:lang w:val="en-US"/>
          <w14:textFill>
            <w14:solidFill>
              <w14:srgbClr w14:val="333333"/>
            </w14:solidFill>
          </w14:textFill>
        </w:rPr>
        <w:t>30,000 in the preceding year, or if owing to a change in the nature of scale of its activities, it may confidently be expected to have such a turnover in the current year, subject its accounts of audit by the University's auditors (or other auditors approved in advance by the Proctors). Accounts are to be ready for audit within 4 months after the year-end and the costs of the audit shall be borne by the Club.</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 members of the Committee shall be elected by the members of the Club annually in accordance with appendix 1, and shall be eligible for re-election. The members of the Club shall not appoint several individuals to jointly hold any of the Offices, nor allow any individual to hold more than one Office at a time. If the Club is designated by the Proctors as a "recognised sport", the Director of Sport shall be the Senior Member. If the Club is not so designated, the members of the Club shall appoint a Member of Congregation as the Senior Member when electing other members of the Committee each year. The Senior Member shall be a member of the Committee ex officio.</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If during the period between the annual elections to Offices and vacancies occur amongst the members of the Committee, the Committee shall have the power of filling the vacancy or vacancies up to the next Annual General Meeting by co-optation.</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Each Office Holder must, on relinquishing his or her appointment, promptly hand to his or her successor in Office (or to another member of the Club nominated by the Committee) all official documents and records belonging to the Club, together with (on request from the Committee) any other property of the Club which may be in his or her possession; and must complete any requirements to transfer authority relating to control of the Clubs bank accounts, building society accounts, or other financial affairs.</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Without derogating from its primary responsibility, the Committee may delegate its functions to finance and general purposes to subcommittees; which are made up exclusively of members of the Committee.</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 Committee shall have the power to make regulations and by-laws, in accordance with this Constitution, and to settle any disputed points not otherwise provided for in this Constitution. Any alteration to this Constitution shall require the approving vote of two-thirds of those present in person or by proxy at a General Meeting.</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No member of the Committee shall be removed from office except by the approving votes of two-thirds of those present in person or by proxy at a General Meeting.</w:t>
      </w:r>
    </w:p>
    <w:p>
      <w:pPr>
        <w:pStyle w:val="Body"/>
        <w:spacing w:before="225" w:after="225" w:line="240" w:lineRule="auto"/>
        <w:ind w:left="720" w:firstLine="0"/>
        <w:outlineLvl w:val="1"/>
        <w:rPr>
          <w:rFonts w:ascii="Helvetica" w:cs="Helvetica" w:hAnsi="Helvetica" w:eastAsia="Helvetica"/>
          <w:b w:val="1"/>
          <w:bCs w:val="1"/>
          <w:outline w:val="0"/>
          <w:color w:val="333333"/>
          <w:sz w:val="32"/>
          <w:szCs w:val="32"/>
          <w:u w:color="333333"/>
          <w14:textFill>
            <w14:solidFill>
              <w14:srgbClr w14:val="333333"/>
            </w14:solidFill>
          </w14:textFill>
        </w:rPr>
      </w:pPr>
      <w:r>
        <w:rPr>
          <w:rFonts w:ascii="Helvetica" w:hAnsi="Helvetica"/>
          <w:b w:val="1"/>
          <w:bCs w:val="1"/>
          <w:outline w:val="0"/>
          <w:color w:val="333333"/>
          <w:sz w:val="32"/>
          <w:szCs w:val="32"/>
          <w:u w:color="333333"/>
          <w:rtl w:val="0"/>
          <w:lang w:val="en-US"/>
          <w14:textFill>
            <w14:solidFill>
              <w14:srgbClr w14:val="333333"/>
            </w14:solidFill>
          </w14:textFill>
        </w:rPr>
        <w:t>Indemnity</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So far as may be permitted by law, every member of the Committee and every officer of the Club shall be entitled to be indemnified by the Club against all costs, charges, losses, expenses and liabilities incurred by him of her in the execution or discharge of his or her duties or the exercise of his or her powers, or otherwise properly in relation to or in connection with his or her duties. This indemnity extends to any liability incurred by him or her in defending any proceedings, civil or criminal, which relate to anything done or omitted or alleged to have been done or omitted by him or her as a member of the Committee or officer of the Club and in which judgment is given in his or her favor (or otherwise disposed of without any finding or admission of any material breach of duty on his or her part), or in which he or she is acquitted, or in connection with any application under any statute for relief from liability in respect of any such act or omission in which relief is granted to him or her by the Court.</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So far as may be permitted by law, the Club may purchase and maintain for any member of the Committee or Officer of the Club insurance cover against liability which by virtue or any rule of law may attach to him or her in respect of any negligence, default, breach of duty or breach of trust of which he or she may be guilty in relation to the Club and against all costs charges, losses and expenses and liabilities incurred by him or her and for which or she is entitled to be indemnified by the Club by virtue of paragraph 24.</w:t>
      </w:r>
    </w:p>
    <w:p>
      <w:pPr>
        <w:pStyle w:val="Body"/>
        <w:spacing w:before="225" w:after="225" w:line="240" w:lineRule="auto"/>
        <w:ind w:left="720" w:firstLine="0"/>
        <w:outlineLvl w:val="1"/>
        <w:rPr>
          <w:rFonts w:ascii="Helvetica" w:cs="Helvetica" w:hAnsi="Helvetica" w:eastAsia="Helvetica"/>
          <w:b w:val="1"/>
          <w:bCs w:val="1"/>
          <w:outline w:val="0"/>
          <w:color w:val="333333"/>
          <w:sz w:val="32"/>
          <w:szCs w:val="32"/>
          <w:u w:color="333333"/>
          <w14:textFill>
            <w14:solidFill>
              <w14:srgbClr w14:val="333333"/>
            </w14:solidFill>
          </w14:textFill>
        </w:rPr>
      </w:pPr>
      <w:r>
        <w:rPr>
          <w:rFonts w:ascii="Helvetica" w:hAnsi="Helvetica"/>
          <w:b w:val="1"/>
          <w:bCs w:val="1"/>
          <w:outline w:val="0"/>
          <w:color w:val="333333"/>
          <w:sz w:val="32"/>
          <w:szCs w:val="32"/>
          <w:u w:color="333333"/>
          <w:rtl w:val="0"/>
          <w:lang w:val="en-US"/>
          <w14:textFill>
            <w14:solidFill>
              <w14:srgbClr w14:val="333333"/>
            </w14:solidFill>
          </w14:textFill>
        </w:rPr>
        <w:t>Dissolution</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 Club may be dissolved at any time by the approving votes of the two-thirds of those present in person or by proxy at a General Meeting. The Club may also be dissolved (without need for any resolution of the members) by means of not less than thirty days</w:t>
      </w:r>
      <w:r>
        <w:rPr>
          <w:rFonts w:ascii="Helvetica" w:hAnsi="Helvetica" w:hint="default"/>
          <w:outline w:val="0"/>
          <w:color w:val="333333"/>
          <w:sz w:val="20"/>
          <w:szCs w:val="20"/>
          <w:u w:color="333333"/>
          <w:rtl w:val="0"/>
          <w:lang w:val="en-US"/>
          <w14:textFill>
            <w14:solidFill>
              <w14:srgbClr w14:val="333333"/>
            </w14:solidFill>
          </w14:textFill>
        </w:rPr>
        <w:t xml:space="preserve">’ </w:t>
      </w:r>
      <w:r>
        <w:rPr>
          <w:rFonts w:ascii="Helvetica" w:hAnsi="Helvetica"/>
          <w:outline w:val="0"/>
          <w:color w:val="333333"/>
          <w:sz w:val="20"/>
          <w:szCs w:val="20"/>
          <w:u w:color="333333"/>
          <w:rtl w:val="0"/>
          <w:lang w:val="en-US"/>
          <w14:textFill>
            <w14:solidFill>
              <w14:srgbClr w14:val="333333"/>
            </w14:solidFill>
          </w14:textFill>
        </w:rPr>
        <w:t>notice from the Proctors to the Secretary of the Club if at any time the Club ceases to be registered with the Proctors.</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In the event of the Club being dissolved, its assets shall not be distributed amongst the members, but shall be paid to, or at the direction of the University.</w:t>
      </w:r>
    </w:p>
    <w:p>
      <w:pPr>
        <w:pStyle w:val="Body"/>
        <w:spacing w:before="225" w:after="225" w:line="240" w:lineRule="auto"/>
        <w:ind w:left="720" w:firstLine="0"/>
        <w:outlineLvl w:val="1"/>
        <w:rPr>
          <w:rFonts w:ascii="Helvetica" w:cs="Helvetica" w:hAnsi="Helvetica" w:eastAsia="Helvetica"/>
          <w:b w:val="1"/>
          <w:bCs w:val="1"/>
          <w:outline w:val="0"/>
          <w:color w:val="333333"/>
          <w:sz w:val="32"/>
          <w:szCs w:val="32"/>
          <w:u w:color="333333"/>
          <w14:textFill>
            <w14:solidFill>
              <w14:srgbClr w14:val="333333"/>
            </w14:solidFill>
          </w14:textFill>
        </w:rPr>
      </w:pPr>
      <w:r>
        <w:rPr>
          <w:rFonts w:ascii="Helvetica" w:hAnsi="Helvetica"/>
          <w:b w:val="1"/>
          <w:bCs w:val="1"/>
          <w:outline w:val="0"/>
          <w:color w:val="333333"/>
          <w:sz w:val="32"/>
          <w:szCs w:val="32"/>
          <w:u w:color="333333"/>
          <w:rtl w:val="0"/>
          <w:lang w:val="en-US"/>
          <w14:textFill>
            <w14:solidFill>
              <w14:srgbClr w14:val="333333"/>
            </w14:solidFill>
          </w14:textFill>
        </w:rPr>
        <w:t>Interpretation</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Any question about the interpretation of this Constitution shall be settled by the Proctors.</w:t>
      </w:r>
    </w:p>
    <w:p>
      <w:pPr>
        <w:pStyle w:val="Body"/>
        <w:spacing w:before="225" w:after="225" w:line="240" w:lineRule="auto"/>
        <w:ind w:left="720" w:firstLine="0"/>
        <w:outlineLvl w:val="1"/>
        <w:rPr>
          <w:rFonts w:ascii="Helvetica" w:cs="Helvetica" w:hAnsi="Helvetica" w:eastAsia="Helvetica"/>
          <w:b w:val="1"/>
          <w:bCs w:val="1"/>
          <w:outline w:val="0"/>
          <w:color w:val="333333"/>
          <w:sz w:val="32"/>
          <w:szCs w:val="32"/>
          <w:u w:color="333333"/>
          <w14:textFill>
            <w14:solidFill>
              <w14:srgbClr w14:val="333333"/>
            </w14:solidFill>
          </w14:textFill>
        </w:rPr>
      </w:pPr>
      <w:r>
        <w:rPr>
          <w:rFonts w:ascii="Helvetica" w:hAnsi="Helvetica"/>
          <w:b w:val="1"/>
          <w:bCs w:val="1"/>
          <w:outline w:val="0"/>
          <w:color w:val="333333"/>
          <w:sz w:val="32"/>
          <w:szCs w:val="32"/>
          <w:u w:color="333333"/>
          <w:rtl w:val="0"/>
          <w:lang w:val="en-US"/>
          <w14:textFill>
            <w14:solidFill>
              <w14:srgbClr w14:val="333333"/>
            </w14:solidFill>
          </w14:textFill>
        </w:rPr>
        <w:t>Matches</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There shall be a Varsity Match against Cambridge University Modern Pentathlon Club each year.</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A Half Blue shall be awarded if 3800 for Men and 3260 for Ladies or better points are scored in the varsity match.</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Extraordinary Half Blues can be awarded if 3800 for Men and 3260 for Ladies or better is scored in an event of similar or higher standard (e.g. British National Men</w:t>
      </w:r>
      <w:r>
        <w:rPr>
          <w:rFonts w:ascii="Helvetica" w:hAnsi="Helvetica" w:hint="default"/>
          <w:outline w:val="0"/>
          <w:color w:val="333333"/>
          <w:sz w:val="20"/>
          <w:szCs w:val="20"/>
          <w:u w:color="333333"/>
          <w:rtl w:val="0"/>
          <w:lang w:val="en-US"/>
          <w14:textFill>
            <w14:solidFill>
              <w14:srgbClr w14:val="333333"/>
            </w14:solidFill>
          </w14:textFill>
        </w:rPr>
        <w:t>’</w:t>
      </w:r>
      <w:r>
        <w:rPr>
          <w:rFonts w:ascii="Helvetica" w:hAnsi="Helvetica"/>
          <w:outline w:val="0"/>
          <w:color w:val="333333"/>
          <w:sz w:val="20"/>
          <w:szCs w:val="20"/>
          <w:u w:color="333333"/>
          <w:rtl w:val="0"/>
          <w:lang w:val="en-US"/>
          <w14:textFill>
            <w14:solidFill>
              <w14:srgbClr w14:val="333333"/>
            </w14:solidFill>
          </w14:textFill>
        </w:rPr>
        <w:t>s or Ladies</w:t>
      </w:r>
      <w:r>
        <w:rPr>
          <w:rFonts w:ascii="Helvetica" w:hAnsi="Helvetica" w:hint="default"/>
          <w:outline w:val="0"/>
          <w:color w:val="333333"/>
          <w:sz w:val="20"/>
          <w:szCs w:val="20"/>
          <w:u w:color="333333"/>
          <w:rtl w:val="0"/>
          <w:lang w:val="en-US"/>
          <w14:textFill>
            <w14:solidFill>
              <w14:srgbClr w14:val="333333"/>
            </w14:solidFill>
          </w14:textFill>
        </w:rPr>
        <w:t xml:space="preserve">’ </w:t>
      </w:r>
      <w:r>
        <w:rPr>
          <w:rFonts w:ascii="Helvetica" w:hAnsi="Helvetica"/>
          <w:outline w:val="0"/>
          <w:color w:val="333333"/>
          <w:sz w:val="20"/>
          <w:szCs w:val="20"/>
          <w:u w:color="333333"/>
          <w:rtl w:val="0"/>
          <w:lang w:val="en-US"/>
          <w14:textFill>
            <w14:solidFill>
              <w14:srgbClr w14:val="333333"/>
            </w14:solidFill>
          </w14:textFill>
        </w:rPr>
        <w:t xml:space="preserve">Championships) by a competitor in the varsity match of that academic year subject to both </w:t>
      </w:r>
      <w:r>
        <w:rPr>
          <w:rFonts w:ascii="Helvetica" w:hAnsi="Helvetica" w:hint="default"/>
          <w:outline w:val="0"/>
          <w:color w:val="333333"/>
          <w:sz w:val="20"/>
          <w:szCs w:val="20"/>
          <w:u w:color="333333"/>
          <w:rtl w:val="0"/>
          <w:lang w:val="en-US"/>
          <w14:textFill>
            <w14:solidFill>
              <w14:srgbClr w14:val="333333"/>
            </w14:solidFill>
          </w14:textFill>
        </w:rPr>
        <w:t xml:space="preserve">– </w:t>
      </w:r>
      <w:r>
        <w:rPr>
          <w:rFonts w:ascii="Helvetica" w:hAnsi="Helvetica"/>
          <w:outline w:val="0"/>
          <w:color w:val="333333"/>
          <w:sz w:val="20"/>
          <w:szCs w:val="20"/>
          <w:u w:color="333333"/>
          <w:rtl w:val="0"/>
          <w:lang w:val="en-US"/>
          <w14:textFill>
            <w14:solidFill>
              <w14:srgbClr w14:val="333333"/>
            </w14:solidFill>
          </w14:textFill>
        </w:rPr>
        <w:t xml:space="preserve">a 2/3 decision of the Club Committee </w:t>
      </w:r>
      <w:r>
        <w:rPr>
          <w:rFonts w:ascii="Helvetica" w:hAnsi="Helvetica" w:hint="default"/>
          <w:outline w:val="0"/>
          <w:color w:val="333333"/>
          <w:sz w:val="20"/>
          <w:szCs w:val="20"/>
          <w:u w:color="333333"/>
          <w:rtl w:val="0"/>
          <w:lang w:val="en-US"/>
          <w14:textFill>
            <w14:solidFill>
              <w14:srgbClr w14:val="333333"/>
            </w14:solidFill>
          </w14:textFill>
        </w:rPr>
        <w:t xml:space="preserve">– </w:t>
      </w:r>
      <w:r>
        <w:rPr>
          <w:rFonts w:ascii="Helvetica" w:hAnsi="Helvetica"/>
          <w:outline w:val="0"/>
          <w:color w:val="333333"/>
          <w:sz w:val="20"/>
          <w:szCs w:val="20"/>
          <w:u w:color="333333"/>
          <w:rtl w:val="0"/>
          <w:lang w:val="en-US"/>
          <w14:textFill>
            <w14:solidFill>
              <w14:srgbClr w14:val="333333"/>
            </w14:solidFill>
          </w14:textFill>
        </w:rPr>
        <w:t>the decision of the relevant Blues Committee.</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A Full Blue shall be awarded if 4800 for Men and 4400 for Ladies or better points are scored under the same conditions stated in 30. And 31.</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Only members of the University may compete for the club in the Varsity Match or any other student competition, as defined by the Blues' Committee Eligibility Rules (1985).</w:t>
      </w:r>
    </w:p>
    <w:p>
      <w:pPr>
        <w:pStyle w:val="Body"/>
        <w:numPr>
          <w:ilvl w:val="0"/>
          <w:numId w:val="2"/>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 Varsity Match teams shall be decided by a meeting of the officers and all Full and Half Blues, past team members and first reserves who are still members of the University and each person present shall have one vote each. In the case of a tie the relevant team captain will have the casting vote. The meeting shall be no less than 10 days before the start of the Varsity Match and the team list shall be posted to the club mailing list the following morning.</w:t>
      </w:r>
    </w:p>
    <w:p>
      <w:pPr>
        <w:pStyle w:val="Body"/>
        <w:spacing w:before="225" w:after="225" w:line="240" w:lineRule="auto"/>
        <w:outlineLvl w:val="1"/>
        <w:rPr>
          <w:rFonts w:ascii="Helvetica" w:cs="Helvetica" w:hAnsi="Helvetica" w:eastAsia="Helvetica"/>
          <w:b w:val="1"/>
          <w:bCs w:val="1"/>
          <w:outline w:val="0"/>
          <w:color w:val="333333"/>
          <w:sz w:val="32"/>
          <w:szCs w:val="32"/>
          <w:u w:color="333333"/>
          <w14:textFill>
            <w14:solidFill>
              <w14:srgbClr w14:val="333333"/>
            </w14:solidFill>
          </w14:textFill>
        </w:rPr>
      </w:pPr>
      <w:r>
        <w:rPr>
          <w:rFonts w:ascii="Helvetica" w:hAnsi="Helvetica"/>
          <w:b w:val="1"/>
          <w:bCs w:val="1"/>
          <w:outline w:val="0"/>
          <w:color w:val="333333"/>
          <w:sz w:val="32"/>
          <w:szCs w:val="32"/>
          <w:u w:color="333333"/>
          <w:rtl w:val="0"/>
          <w:lang w:val="en-US"/>
          <w14:textFill>
            <w14:solidFill>
              <w14:srgbClr w14:val="333333"/>
            </w14:solidFill>
          </w14:textFill>
        </w:rPr>
        <w:t>Appendix 1: Voting Procedure for Election of Officers at OUMPA AGM</w:t>
      </w:r>
    </w:p>
    <w:p>
      <w:pPr>
        <w:pStyle w:val="Body"/>
        <w:numPr>
          <w:ilvl w:val="0"/>
          <w:numId w:val="4"/>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The Returning Officer shall be selected by the outgoing Committee.</w:t>
      </w:r>
    </w:p>
    <w:p>
      <w:pPr>
        <w:pStyle w:val="Body"/>
        <w:numPr>
          <w:ilvl w:val="0"/>
          <w:numId w:val="4"/>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All candidates must submit their application for positions to the outgoing OUMPA President at least 48 hours before the start of the OUMPA AGM. Others may not stand for voting Committee positions unless no person applied as above for the relevant post.</w:t>
      </w:r>
    </w:p>
    <w:p>
      <w:pPr>
        <w:pStyle w:val="Body"/>
        <w:numPr>
          <w:ilvl w:val="0"/>
          <w:numId w:val="4"/>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Where a candidate is not elected for his chosen position, he should, where possible, be allowed to stand for other positions. The order of elections is chosen by the outgoing Committee, but the following procedure should be adopted where more than one post is contested: All candidates must inform the Returning Officer at the start of the meeting which posts they would accept and their order of preference. The Returning Officer will then decide the order of elections, allowing as many people as possible to stand for their highest preferences before having to stand for positions which are lower preferences.</w:t>
      </w:r>
    </w:p>
    <w:p>
      <w:pPr>
        <w:pStyle w:val="Body"/>
        <w:numPr>
          <w:ilvl w:val="0"/>
          <w:numId w:val="4"/>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A candidate must be present at the AGM to be elected, except at the outgoing Committee's discretion.</w:t>
      </w:r>
    </w:p>
    <w:p>
      <w:pPr>
        <w:pStyle w:val="Body"/>
        <w:numPr>
          <w:ilvl w:val="0"/>
          <w:numId w:val="4"/>
        </w:numPr>
        <w:bidi w:val="0"/>
        <w:spacing w:before="100" w:after="100" w:line="240" w:lineRule="auto"/>
        <w:ind w:right="0"/>
        <w:jc w:val="left"/>
        <w:rPr>
          <w:rFonts w:ascii="Helvetica" w:hAnsi="Helvetica"/>
          <w:outline w:val="0"/>
          <w:color w:val="333333"/>
          <w:sz w:val="20"/>
          <w:szCs w:val="20"/>
          <w:rtl w:val="0"/>
          <w:lang w:val="en-US"/>
          <w14:textFill>
            <w14:solidFill>
              <w14:srgbClr w14:val="333333"/>
            </w14:solidFill>
          </w14:textFill>
        </w:rPr>
      </w:pPr>
      <w:r>
        <w:rPr>
          <w:rFonts w:ascii="Helvetica" w:hAnsi="Helvetica"/>
          <w:outline w:val="0"/>
          <w:color w:val="333333"/>
          <w:sz w:val="20"/>
          <w:szCs w:val="20"/>
          <w:u w:color="333333"/>
          <w:rtl w:val="0"/>
          <w:lang w:val="en-US"/>
          <w14:textFill>
            <w14:solidFill>
              <w14:srgbClr w14:val="333333"/>
            </w14:solidFill>
          </w14:textFill>
        </w:rPr>
        <w:t>Each candidate must be proposed and seconded by an ordinary member of OUMPA.</w:t>
      </w:r>
      <w:r>
        <w:rPr>
          <w:rFonts w:ascii="Helvetica" w:cs="Helvetica" w:hAnsi="Helvetica" w:eastAsia="Helvetica"/>
          <w:outline w:val="0"/>
          <w:color w:val="333333"/>
          <w:sz w:val="20"/>
          <w:szCs w:val="20"/>
          <w:u w:color="333333"/>
          <w14:textFill>
            <w14:solidFill>
              <w14:srgbClr w14:val="333333"/>
            </w14:solidFill>
          </w14:textFill>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